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612" w:rsidRDefault="00F02612" w:rsidP="00F02612">
      <w:r>
        <w:t>Rainbow School District in partnership with The Wellness Center have committed to an integrated system of support.  They have established a district and community leadership team, with a mission, vision, and signed MOU for their collaborative work.  As part of their efforts, procedures and routines have been established for schools to install an integrated MTSS to meet the SEB needs of every student.  This includes selecting a universal screening instrument and protocols for schools to use.  Here is the continuum of interventions that the DCLT has decided to support for use within their schools:</w:t>
      </w:r>
    </w:p>
    <w:p w:rsidR="00F02612" w:rsidRDefault="00F02612" w:rsidP="00F02612"/>
    <w:tbl>
      <w:tblPr>
        <w:tblStyle w:val="TableGrid"/>
        <w:tblW w:w="0" w:type="auto"/>
        <w:tblLook w:val="04A0" w:firstRow="1" w:lastRow="0" w:firstColumn="1" w:lastColumn="0" w:noHBand="0" w:noVBand="1"/>
      </w:tblPr>
      <w:tblGrid>
        <w:gridCol w:w="2875"/>
        <w:gridCol w:w="3060"/>
        <w:gridCol w:w="3150"/>
      </w:tblGrid>
      <w:tr w:rsidR="004D2CDD" w:rsidRPr="00DC7B4E" w:rsidTr="00D01D51">
        <w:tc>
          <w:tcPr>
            <w:tcW w:w="2875" w:type="dxa"/>
          </w:tcPr>
          <w:p w:rsidR="004D2CDD" w:rsidRPr="00DC7B4E" w:rsidRDefault="004D2CDD" w:rsidP="005B2E16">
            <w:pPr>
              <w:jc w:val="center"/>
              <w:rPr>
                <w:b/>
                <w:bCs/>
              </w:rPr>
            </w:pPr>
            <w:r>
              <w:rPr>
                <w:b/>
                <w:bCs/>
              </w:rPr>
              <w:t>Intervention:</w:t>
            </w:r>
          </w:p>
        </w:tc>
        <w:tc>
          <w:tcPr>
            <w:tcW w:w="3060" w:type="dxa"/>
          </w:tcPr>
          <w:p w:rsidR="004D2CDD" w:rsidRPr="00DC7B4E" w:rsidRDefault="004D2CDD" w:rsidP="005B2E16">
            <w:pPr>
              <w:jc w:val="center"/>
              <w:rPr>
                <w:b/>
                <w:bCs/>
              </w:rPr>
            </w:pPr>
            <w:r>
              <w:rPr>
                <w:b/>
                <w:bCs/>
              </w:rPr>
              <w:t xml:space="preserve">Target Population: </w:t>
            </w:r>
          </w:p>
        </w:tc>
        <w:tc>
          <w:tcPr>
            <w:tcW w:w="3150" w:type="dxa"/>
          </w:tcPr>
          <w:p w:rsidR="004D2CDD" w:rsidRDefault="004D2CDD" w:rsidP="005B2E16">
            <w:pPr>
              <w:jc w:val="center"/>
              <w:rPr>
                <w:b/>
                <w:bCs/>
              </w:rPr>
            </w:pPr>
            <w:r>
              <w:rPr>
                <w:b/>
                <w:bCs/>
              </w:rPr>
              <w:t>Evidenced to Address:</w:t>
            </w:r>
          </w:p>
        </w:tc>
      </w:tr>
      <w:tr w:rsidR="004D2CDD" w:rsidTr="00D01D51">
        <w:tc>
          <w:tcPr>
            <w:tcW w:w="2875" w:type="dxa"/>
          </w:tcPr>
          <w:p w:rsidR="004D2CDD" w:rsidRDefault="004D2CDD" w:rsidP="005B2E16">
            <w:r>
              <w:t>Second Step</w:t>
            </w:r>
          </w:p>
        </w:tc>
        <w:tc>
          <w:tcPr>
            <w:tcW w:w="3060" w:type="dxa"/>
          </w:tcPr>
          <w:p w:rsidR="004D2CDD" w:rsidRDefault="004D2CDD" w:rsidP="005B2E16">
            <w:bookmarkStart w:id="0" w:name="_GoBack"/>
            <w:r>
              <w:t>Gr</w:t>
            </w:r>
            <w:bookmarkEnd w:id="0"/>
            <w:r>
              <w:t>ades K-6</w:t>
            </w:r>
          </w:p>
        </w:tc>
        <w:tc>
          <w:tcPr>
            <w:tcW w:w="3150" w:type="dxa"/>
          </w:tcPr>
          <w:p w:rsidR="004D2CDD" w:rsidRDefault="004D2CDD" w:rsidP="005B2E16">
            <w:r>
              <w:t>Prosocial skills</w:t>
            </w:r>
          </w:p>
          <w:p w:rsidR="004D2CDD" w:rsidRDefault="004D2CDD" w:rsidP="005B2E16">
            <w:r>
              <w:t>Violence prevention</w:t>
            </w:r>
          </w:p>
        </w:tc>
      </w:tr>
      <w:tr w:rsidR="004D2CDD" w:rsidTr="00D01D51">
        <w:tc>
          <w:tcPr>
            <w:tcW w:w="2875" w:type="dxa"/>
          </w:tcPr>
          <w:p w:rsidR="004D2CDD" w:rsidRDefault="004D2CDD" w:rsidP="005B2E16">
            <w:proofErr w:type="spellStart"/>
            <w:r>
              <w:t>Botvin</w:t>
            </w:r>
            <w:proofErr w:type="spellEnd"/>
            <w:r>
              <w:t xml:space="preserve"> Life Skills</w:t>
            </w:r>
          </w:p>
        </w:tc>
        <w:tc>
          <w:tcPr>
            <w:tcW w:w="3060" w:type="dxa"/>
          </w:tcPr>
          <w:p w:rsidR="004D2CDD" w:rsidRDefault="004D2CDD" w:rsidP="005B2E16">
            <w:r>
              <w:t>Grades 7-12</w:t>
            </w:r>
          </w:p>
        </w:tc>
        <w:tc>
          <w:tcPr>
            <w:tcW w:w="3150" w:type="dxa"/>
          </w:tcPr>
          <w:p w:rsidR="004D2CDD" w:rsidRDefault="004D2CDD" w:rsidP="005B2E16">
            <w:r>
              <w:t>Prosocial skills</w:t>
            </w:r>
          </w:p>
          <w:p w:rsidR="004D2CDD" w:rsidRDefault="004D2CDD" w:rsidP="005B2E16">
            <w:r>
              <w:t>Substance use prevention</w:t>
            </w:r>
          </w:p>
        </w:tc>
      </w:tr>
      <w:tr w:rsidR="004D2CDD" w:rsidTr="00D01D51">
        <w:tc>
          <w:tcPr>
            <w:tcW w:w="2875" w:type="dxa"/>
          </w:tcPr>
          <w:p w:rsidR="004D2CDD" w:rsidRDefault="004D2CDD" w:rsidP="005B2E16">
            <w:r>
              <w:t xml:space="preserve">Support for Students Exposed to Trauma </w:t>
            </w:r>
          </w:p>
        </w:tc>
        <w:tc>
          <w:tcPr>
            <w:tcW w:w="3060" w:type="dxa"/>
          </w:tcPr>
          <w:p w:rsidR="004D2CDD" w:rsidRDefault="004D2CDD" w:rsidP="005B2E16">
            <w:r>
              <w:t>Grades 4-9</w:t>
            </w:r>
          </w:p>
        </w:tc>
        <w:tc>
          <w:tcPr>
            <w:tcW w:w="3150" w:type="dxa"/>
          </w:tcPr>
          <w:p w:rsidR="004D2CDD" w:rsidRDefault="004D2CDD" w:rsidP="005B2E16">
            <w:r>
              <w:t>Address impact of trauma</w:t>
            </w:r>
          </w:p>
        </w:tc>
      </w:tr>
      <w:tr w:rsidR="004D2CDD" w:rsidTr="00D01D51">
        <w:tc>
          <w:tcPr>
            <w:tcW w:w="2875" w:type="dxa"/>
          </w:tcPr>
          <w:p w:rsidR="004D2CDD" w:rsidRDefault="004D2CDD" w:rsidP="005B2E16">
            <w:r>
              <w:t>Check In, Check Out</w:t>
            </w:r>
          </w:p>
        </w:tc>
        <w:tc>
          <w:tcPr>
            <w:tcW w:w="3060" w:type="dxa"/>
          </w:tcPr>
          <w:p w:rsidR="004D2CDD" w:rsidRDefault="004D2CDD" w:rsidP="005B2E16">
            <w:r>
              <w:t>Grades K-12</w:t>
            </w:r>
          </w:p>
        </w:tc>
        <w:tc>
          <w:tcPr>
            <w:tcW w:w="3150" w:type="dxa"/>
          </w:tcPr>
          <w:p w:rsidR="004D2CDD" w:rsidRDefault="004D2CDD" w:rsidP="005B2E16">
            <w:r>
              <w:t>Reteach expectations, increased adult attention</w:t>
            </w:r>
          </w:p>
        </w:tc>
      </w:tr>
      <w:tr w:rsidR="004D2CDD" w:rsidTr="00D01D51">
        <w:tc>
          <w:tcPr>
            <w:tcW w:w="2875" w:type="dxa"/>
          </w:tcPr>
          <w:p w:rsidR="004D2CDD" w:rsidRDefault="004D2CDD" w:rsidP="005B2E16">
            <w:r>
              <w:t>Small group instruction of needed skills (social, coping, problem solving)</w:t>
            </w:r>
          </w:p>
        </w:tc>
        <w:tc>
          <w:tcPr>
            <w:tcW w:w="3060" w:type="dxa"/>
          </w:tcPr>
          <w:p w:rsidR="004D2CDD" w:rsidRDefault="004D2CDD" w:rsidP="005B2E16">
            <w:r>
              <w:t>Grades K-12</w:t>
            </w:r>
          </w:p>
        </w:tc>
        <w:tc>
          <w:tcPr>
            <w:tcW w:w="3150" w:type="dxa"/>
          </w:tcPr>
          <w:p w:rsidR="004D2CDD" w:rsidRDefault="004D2CDD" w:rsidP="005B2E16">
            <w:r>
              <w:t>Reteach lessons from curriculum available at T1</w:t>
            </w:r>
          </w:p>
        </w:tc>
      </w:tr>
      <w:tr w:rsidR="004D2CDD" w:rsidTr="00D01D51">
        <w:tc>
          <w:tcPr>
            <w:tcW w:w="2875" w:type="dxa"/>
          </w:tcPr>
          <w:p w:rsidR="004D2CDD" w:rsidRDefault="004D2CDD" w:rsidP="005B2E16">
            <w:r>
              <w:t>MATCH-ADTC (anxiety, depression, trauma, conduct)</w:t>
            </w:r>
          </w:p>
        </w:tc>
        <w:tc>
          <w:tcPr>
            <w:tcW w:w="3060" w:type="dxa"/>
          </w:tcPr>
          <w:p w:rsidR="004D2CDD" w:rsidRDefault="004D2CDD" w:rsidP="005B2E16">
            <w:r>
              <w:t>Grades K-12</w:t>
            </w:r>
          </w:p>
        </w:tc>
        <w:tc>
          <w:tcPr>
            <w:tcW w:w="3150" w:type="dxa"/>
          </w:tcPr>
          <w:p w:rsidR="004D2CDD" w:rsidRDefault="004D2CDD" w:rsidP="005B2E16">
            <w:r>
              <w:t xml:space="preserve">Modular approach to address less intense presenting problems </w:t>
            </w:r>
          </w:p>
        </w:tc>
      </w:tr>
      <w:tr w:rsidR="004D2CDD" w:rsidTr="00D01D51">
        <w:tc>
          <w:tcPr>
            <w:tcW w:w="2875" w:type="dxa"/>
          </w:tcPr>
          <w:p w:rsidR="004D2CDD" w:rsidRDefault="004D2CDD" w:rsidP="005B2E16">
            <w:r>
              <w:t>Coping Cat</w:t>
            </w:r>
          </w:p>
        </w:tc>
        <w:tc>
          <w:tcPr>
            <w:tcW w:w="3060" w:type="dxa"/>
          </w:tcPr>
          <w:p w:rsidR="004D2CDD" w:rsidRDefault="004D2CDD" w:rsidP="005B2E16">
            <w:r>
              <w:t>Grades 2-8</w:t>
            </w:r>
          </w:p>
        </w:tc>
        <w:tc>
          <w:tcPr>
            <w:tcW w:w="3150" w:type="dxa"/>
          </w:tcPr>
          <w:p w:rsidR="004D2CDD" w:rsidRDefault="004D2CDD" w:rsidP="005B2E16">
            <w:r>
              <w:t>Address impact of anxiety</w:t>
            </w:r>
          </w:p>
        </w:tc>
      </w:tr>
      <w:tr w:rsidR="004D2CDD" w:rsidTr="00D01D51">
        <w:tc>
          <w:tcPr>
            <w:tcW w:w="2875" w:type="dxa"/>
          </w:tcPr>
          <w:p w:rsidR="004D2CDD" w:rsidRDefault="004D2CDD" w:rsidP="005B2E16">
            <w:r>
              <w:t>Bounce Back</w:t>
            </w:r>
          </w:p>
        </w:tc>
        <w:tc>
          <w:tcPr>
            <w:tcW w:w="3060" w:type="dxa"/>
          </w:tcPr>
          <w:p w:rsidR="004D2CDD" w:rsidRDefault="004D2CDD" w:rsidP="005B2E16">
            <w:r>
              <w:t>Grades K-5</w:t>
            </w:r>
          </w:p>
        </w:tc>
        <w:tc>
          <w:tcPr>
            <w:tcW w:w="3150" w:type="dxa"/>
          </w:tcPr>
          <w:p w:rsidR="004D2CDD" w:rsidRDefault="004D2CDD" w:rsidP="005B2E16">
            <w:r>
              <w:t>Address impact of trauma</w:t>
            </w:r>
          </w:p>
        </w:tc>
      </w:tr>
      <w:tr w:rsidR="004D2CDD" w:rsidTr="00D01D51">
        <w:tc>
          <w:tcPr>
            <w:tcW w:w="2875" w:type="dxa"/>
          </w:tcPr>
          <w:p w:rsidR="004D2CDD" w:rsidRDefault="004D2CDD" w:rsidP="005B2E16">
            <w:r>
              <w:t>SPARCS</w:t>
            </w:r>
          </w:p>
        </w:tc>
        <w:tc>
          <w:tcPr>
            <w:tcW w:w="3060" w:type="dxa"/>
          </w:tcPr>
          <w:p w:rsidR="004D2CDD" w:rsidRDefault="004D2CDD" w:rsidP="005B2E16">
            <w:r>
              <w:t>Grades 6-12</w:t>
            </w:r>
          </w:p>
        </w:tc>
        <w:tc>
          <w:tcPr>
            <w:tcW w:w="3150" w:type="dxa"/>
          </w:tcPr>
          <w:p w:rsidR="004D2CDD" w:rsidRDefault="004D2CDD" w:rsidP="005B2E16">
            <w:r>
              <w:t>Address impact of trauma</w:t>
            </w:r>
          </w:p>
        </w:tc>
      </w:tr>
      <w:tr w:rsidR="004D2CDD" w:rsidTr="00D01D51">
        <w:tc>
          <w:tcPr>
            <w:tcW w:w="2875" w:type="dxa"/>
          </w:tcPr>
          <w:p w:rsidR="004D2CDD" w:rsidRDefault="004D2CDD" w:rsidP="005B2E16">
            <w:r>
              <w:t>Aggression Replacement Training</w:t>
            </w:r>
          </w:p>
        </w:tc>
        <w:tc>
          <w:tcPr>
            <w:tcW w:w="3060" w:type="dxa"/>
          </w:tcPr>
          <w:p w:rsidR="004D2CDD" w:rsidRDefault="004D2CDD" w:rsidP="005B2E16">
            <w:r>
              <w:t>Grades 6-12</w:t>
            </w:r>
          </w:p>
        </w:tc>
        <w:tc>
          <w:tcPr>
            <w:tcW w:w="3150" w:type="dxa"/>
          </w:tcPr>
          <w:p w:rsidR="004D2CDD" w:rsidRDefault="004D2CDD" w:rsidP="005B2E16">
            <w:r>
              <w:t>Address physical aggression</w:t>
            </w:r>
          </w:p>
        </w:tc>
      </w:tr>
      <w:tr w:rsidR="004D2CDD" w:rsidTr="00D01D51">
        <w:tc>
          <w:tcPr>
            <w:tcW w:w="2875" w:type="dxa"/>
          </w:tcPr>
          <w:p w:rsidR="004D2CDD" w:rsidRDefault="004D2CDD" w:rsidP="005B2E16">
            <w:r>
              <w:t>TF-CBT</w:t>
            </w:r>
          </w:p>
        </w:tc>
        <w:tc>
          <w:tcPr>
            <w:tcW w:w="3060" w:type="dxa"/>
          </w:tcPr>
          <w:p w:rsidR="004D2CDD" w:rsidRDefault="004D2CDD" w:rsidP="005B2E16">
            <w:r>
              <w:t>Grades K-12</w:t>
            </w:r>
          </w:p>
        </w:tc>
        <w:tc>
          <w:tcPr>
            <w:tcW w:w="3150" w:type="dxa"/>
          </w:tcPr>
          <w:p w:rsidR="004D2CDD" w:rsidRDefault="004D2CDD" w:rsidP="005B2E16">
            <w:r>
              <w:t>Address impact of trauma</w:t>
            </w:r>
          </w:p>
        </w:tc>
      </w:tr>
    </w:tbl>
    <w:p w:rsidR="0025470E" w:rsidRDefault="0025470E"/>
    <w:sectPr w:rsidR="00254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12"/>
    <w:rsid w:val="0025470E"/>
    <w:rsid w:val="004D2CDD"/>
    <w:rsid w:val="00D01D51"/>
    <w:rsid w:val="00F0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75592-30D1-4C53-A8D4-61E53D9C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61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6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NFI Vermont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Asam</dc:creator>
  <cp:keywords/>
  <dc:description/>
  <cp:lastModifiedBy>Kym Asam</cp:lastModifiedBy>
  <cp:revision>4</cp:revision>
  <dcterms:created xsi:type="dcterms:W3CDTF">2021-06-15T16:48:00Z</dcterms:created>
  <dcterms:modified xsi:type="dcterms:W3CDTF">2021-06-15T16:49:00Z</dcterms:modified>
</cp:coreProperties>
</file>